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EB5E73" w:rsidRDefault="007B51B6" w:rsidP="00EB5E73">
      <w:pPr>
        <w:spacing w:after="0" w:line="240" w:lineRule="auto"/>
        <w:jc w:val="right"/>
        <w:rPr>
          <w:rFonts w:ascii="Arial" w:hAnsi="Arial" w:cs="Arial"/>
        </w:rPr>
      </w:pPr>
      <w:r w:rsidRPr="00EB5E73">
        <w:rPr>
          <w:rFonts w:ascii="Arial" w:hAnsi="Arial" w:cs="Arial"/>
        </w:rPr>
        <w:t>OFICIO</w:t>
      </w:r>
      <w:r w:rsidR="007754CD" w:rsidRPr="00EB5E73">
        <w:rPr>
          <w:rFonts w:ascii="Arial" w:hAnsi="Arial" w:cs="Arial"/>
        </w:rPr>
        <w:t>: IDAIP/</w:t>
      </w:r>
      <w:r w:rsidR="007A2317">
        <w:rPr>
          <w:rFonts w:ascii="Arial" w:hAnsi="Arial" w:cs="Arial"/>
        </w:rPr>
        <w:t>992</w:t>
      </w:r>
      <w:r w:rsidR="00A54B03" w:rsidRPr="00EB5E73">
        <w:rPr>
          <w:rFonts w:ascii="Arial" w:hAnsi="Arial" w:cs="Arial"/>
        </w:rPr>
        <w:t>/</w:t>
      </w:r>
      <w:r w:rsidR="00DE1134" w:rsidRPr="00EB5E73">
        <w:rPr>
          <w:rFonts w:ascii="Arial" w:hAnsi="Arial" w:cs="Arial"/>
        </w:rPr>
        <w:t>15</w:t>
      </w:r>
    </w:p>
    <w:p w:rsidR="007B51B6" w:rsidRPr="00EB5E73" w:rsidRDefault="007B51B6" w:rsidP="00EB5E73">
      <w:pPr>
        <w:spacing w:after="0" w:line="240" w:lineRule="auto"/>
        <w:jc w:val="right"/>
        <w:rPr>
          <w:rFonts w:ascii="Arial" w:hAnsi="Arial" w:cs="Arial"/>
        </w:rPr>
      </w:pPr>
      <w:r w:rsidRPr="00EB5E73">
        <w:rPr>
          <w:rFonts w:ascii="Arial" w:hAnsi="Arial" w:cs="Arial"/>
        </w:rPr>
        <w:t xml:space="preserve">Durango, Dgo., a </w:t>
      </w:r>
      <w:r w:rsidR="007A2317">
        <w:rPr>
          <w:rFonts w:ascii="Arial" w:hAnsi="Arial" w:cs="Arial"/>
        </w:rPr>
        <w:t>22</w:t>
      </w:r>
      <w:r w:rsidR="00C62EFE" w:rsidRPr="00EB5E73">
        <w:rPr>
          <w:rFonts w:ascii="Arial" w:hAnsi="Arial" w:cs="Arial"/>
        </w:rPr>
        <w:t xml:space="preserve"> de Septiembre</w:t>
      </w:r>
      <w:r w:rsidR="00E475E0" w:rsidRPr="00EB5E73">
        <w:rPr>
          <w:rFonts w:ascii="Arial" w:hAnsi="Arial" w:cs="Arial"/>
        </w:rPr>
        <w:t xml:space="preserve"> de 2015</w:t>
      </w:r>
    </w:p>
    <w:p w:rsidR="007B51B6" w:rsidRPr="00EB5E73" w:rsidRDefault="007B51B6" w:rsidP="00EB5E73">
      <w:pPr>
        <w:spacing w:line="240" w:lineRule="auto"/>
        <w:jc w:val="both"/>
        <w:rPr>
          <w:rFonts w:ascii="Arial" w:hAnsi="Arial" w:cs="Arial"/>
        </w:rPr>
      </w:pPr>
    </w:p>
    <w:p w:rsidR="007754CD" w:rsidRPr="00EB5E73" w:rsidRDefault="002D1BA7" w:rsidP="00EB5E73">
      <w:pPr>
        <w:spacing w:after="0" w:line="240" w:lineRule="auto"/>
        <w:jc w:val="both"/>
        <w:rPr>
          <w:rFonts w:ascii="Arial" w:hAnsi="Arial" w:cs="Arial"/>
          <w:b/>
        </w:rPr>
      </w:pPr>
      <w:r w:rsidRPr="00EB5E73">
        <w:rPr>
          <w:rFonts w:ascii="Arial" w:hAnsi="Arial" w:cs="Arial"/>
          <w:b/>
        </w:rPr>
        <w:t>C.</w:t>
      </w:r>
      <w:r w:rsidR="00B90616">
        <w:rPr>
          <w:rFonts w:ascii="Arial" w:hAnsi="Arial" w:cs="Arial"/>
          <w:b/>
        </w:rPr>
        <w:t xml:space="preserve"> SOLIICITANTE </w:t>
      </w:r>
      <w:bookmarkStart w:id="0" w:name="_GoBack"/>
      <w:bookmarkEnd w:id="0"/>
    </w:p>
    <w:p w:rsidR="007B51B6" w:rsidRPr="00EB5E73" w:rsidRDefault="00C62EFE" w:rsidP="00EB5E73">
      <w:pPr>
        <w:spacing w:after="0" w:line="240" w:lineRule="auto"/>
        <w:jc w:val="both"/>
        <w:rPr>
          <w:rFonts w:ascii="Arial" w:hAnsi="Arial" w:cs="Arial"/>
          <w:b/>
        </w:rPr>
      </w:pPr>
      <w:r w:rsidRPr="00EB5E73">
        <w:rPr>
          <w:rFonts w:ascii="Arial" w:hAnsi="Arial" w:cs="Arial"/>
          <w:b/>
        </w:rPr>
        <w:t xml:space="preserve">PRESENTE.- </w:t>
      </w:r>
    </w:p>
    <w:p w:rsidR="007B51B6" w:rsidRPr="00EB5E73" w:rsidRDefault="007B51B6" w:rsidP="00EB5E73">
      <w:pPr>
        <w:spacing w:after="0" w:line="240" w:lineRule="auto"/>
        <w:jc w:val="both"/>
        <w:rPr>
          <w:rFonts w:ascii="Arial" w:hAnsi="Arial" w:cs="Arial"/>
        </w:rPr>
      </w:pPr>
    </w:p>
    <w:p w:rsidR="004268C4" w:rsidRDefault="00F52801" w:rsidP="00EB5E73">
      <w:pPr>
        <w:spacing w:line="240" w:lineRule="auto"/>
        <w:jc w:val="both"/>
        <w:rPr>
          <w:rFonts w:ascii="Arial" w:hAnsi="Arial" w:cs="Arial"/>
        </w:rPr>
      </w:pPr>
      <w:r w:rsidRPr="00EB5E73">
        <w:rPr>
          <w:rFonts w:ascii="Arial" w:hAnsi="Arial" w:cs="Arial"/>
        </w:rPr>
        <w:t xml:space="preserve">En atención a </w:t>
      </w:r>
      <w:r w:rsidR="007B51B6" w:rsidRPr="00EB5E73">
        <w:rPr>
          <w:rFonts w:ascii="Arial" w:hAnsi="Arial" w:cs="Arial"/>
        </w:rPr>
        <w:t>su solici</w:t>
      </w:r>
      <w:r w:rsidR="00B02605" w:rsidRPr="00EB5E73">
        <w:rPr>
          <w:rFonts w:ascii="Arial" w:hAnsi="Arial" w:cs="Arial"/>
        </w:rPr>
        <w:t>tu</w:t>
      </w:r>
      <w:r w:rsidR="007B51B6" w:rsidRPr="00EB5E73">
        <w:rPr>
          <w:rFonts w:ascii="Arial" w:hAnsi="Arial" w:cs="Arial"/>
        </w:rPr>
        <w:t xml:space="preserve">d de información registrada en el Sistema </w:t>
      </w:r>
      <w:r w:rsidRPr="00EB5E73">
        <w:rPr>
          <w:rFonts w:ascii="Arial" w:hAnsi="Arial" w:cs="Arial"/>
        </w:rPr>
        <w:t>INFOMEX-DURANGO</w:t>
      </w:r>
      <w:r w:rsidR="007B51B6" w:rsidRPr="00EB5E73">
        <w:rPr>
          <w:rFonts w:ascii="Arial" w:hAnsi="Arial" w:cs="Arial"/>
        </w:rPr>
        <w:t xml:space="preserve">, el día </w:t>
      </w:r>
      <w:r w:rsidR="00986CE2" w:rsidRPr="00EB5E73">
        <w:rPr>
          <w:rFonts w:ascii="Arial" w:hAnsi="Arial" w:cs="Arial"/>
        </w:rPr>
        <w:t>11</w:t>
      </w:r>
      <w:r w:rsidR="00F05099" w:rsidRPr="00EB5E73">
        <w:rPr>
          <w:rFonts w:ascii="Arial" w:hAnsi="Arial" w:cs="Arial"/>
        </w:rPr>
        <w:t xml:space="preserve"> de </w:t>
      </w:r>
      <w:r w:rsidR="00986CE2" w:rsidRPr="00EB5E73">
        <w:rPr>
          <w:rFonts w:ascii="Arial" w:hAnsi="Arial" w:cs="Arial"/>
        </w:rPr>
        <w:t>septiembre</w:t>
      </w:r>
      <w:r w:rsidR="007754CD" w:rsidRPr="00EB5E73">
        <w:rPr>
          <w:rFonts w:ascii="Arial" w:hAnsi="Arial" w:cs="Arial"/>
        </w:rPr>
        <w:t xml:space="preserve"> </w:t>
      </w:r>
      <w:r w:rsidR="007B51B6" w:rsidRPr="00EB5E73">
        <w:rPr>
          <w:rFonts w:ascii="Arial" w:hAnsi="Arial" w:cs="Arial"/>
        </w:rPr>
        <w:t xml:space="preserve">del año en curso, a la que se </w:t>
      </w:r>
      <w:r w:rsidR="00B02605" w:rsidRPr="00EB5E73">
        <w:rPr>
          <w:rFonts w:ascii="Arial" w:hAnsi="Arial" w:cs="Arial"/>
        </w:rPr>
        <w:t xml:space="preserve">le </w:t>
      </w:r>
      <w:r w:rsidR="007B51B6" w:rsidRPr="00EB5E73">
        <w:rPr>
          <w:rFonts w:ascii="Arial" w:hAnsi="Arial" w:cs="Arial"/>
        </w:rPr>
        <w:t>asign</w:t>
      </w:r>
      <w:r w:rsidR="0075092F" w:rsidRPr="00EB5E73">
        <w:rPr>
          <w:rFonts w:ascii="Arial" w:hAnsi="Arial" w:cs="Arial"/>
        </w:rPr>
        <w:t>ó</w:t>
      </w:r>
      <w:r w:rsidR="007B51B6" w:rsidRPr="00EB5E73">
        <w:rPr>
          <w:rFonts w:ascii="Arial" w:hAnsi="Arial" w:cs="Arial"/>
        </w:rPr>
        <w:t xml:space="preserve"> </w:t>
      </w:r>
      <w:r w:rsidR="0075092F" w:rsidRPr="00EB5E73">
        <w:rPr>
          <w:rFonts w:ascii="Arial" w:hAnsi="Arial" w:cs="Arial"/>
        </w:rPr>
        <w:t>el</w:t>
      </w:r>
      <w:r w:rsidR="007B51B6" w:rsidRPr="00EB5E73">
        <w:rPr>
          <w:rFonts w:ascii="Arial" w:hAnsi="Arial" w:cs="Arial"/>
        </w:rPr>
        <w:t xml:space="preserve"> número de folio </w:t>
      </w:r>
      <w:r w:rsidR="007A2317">
        <w:rPr>
          <w:rFonts w:ascii="Arial" w:hAnsi="Arial" w:cs="Arial"/>
        </w:rPr>
        <w:t>00</w:t>
      </w:r>
      <w:r w:rsidR="00986CE2" w:rsidRPr="00EB5E73">
        <w:rPr>
          <w:rFonts w:ascii="Arial" w:hAnsi="Arial" w:cs="Arial"/>
        </w:rPr>
        <w:t>1490</w:t>
      </w:r>
      <w:r w:rsidR="0075092F" w:rsidRPr="00EB5E73">
        <w:rPr>
          <w:rFonts w:ascii="Arial" w:hAnsi="Arial" w:cs="Arial"/>
        </w:rPr>
        <w:t>15</w:t>
      </w:r>
      <w:r w:rsidR="00B02605" w:rsidRPr="00EB5E73">
        <w:rPr>
          <w:rFonts w:ascii="Arial" w:hAnsi="Arial" w:cs="Arial"/>
        </w:rPr>
        <w:t>,</w:t>
      </w:r>
      <w:r w:rsidR="007B51B6" w:rsidRPr="00EB5E73">
        <w:rPr>
          <w:rFonts w:ascii="Arial" w:hAnsi="Arial" w:cs="Arial"/>
        </w:rPr>
        <w:t xml:space="preserve"> mediante la cual requirió de este Instituto </w:t>
      </w:r>
      <w:r w:rsidR="00714C99" w:rsidRPr="00EB5E73">
        <w:rPr>
          <w:rFonts w:ascii="Arial" w:hAnsi="Arial" w:cs="Arial"/>
          <w:b/>
          <w:i/>
        </w:rPr>
        <w:t>“</w:t>
      </w:r>
      <w:r w:rsidR="00986CE2" w:rsidRPr="00EB5E73">
        <w:rPr>
          <w:rFonts w:ascii="Arial" w:hAnsi="Arial" w:cs="Arial"/>
          <w:b/>
          <w:i/>
        </w:rPr>
        <w:t>El presupuesto a ejercer del año fiscal del IDAIP, composición orgánica y sustento jurídico</w:t>
      </w:r>
      <w:r w:rsidR="006C632D" w:rsidRPr="00EB5E73">
        <w:rPr>
          <w:rFonts w:ascii="Arial" w:hAnsi="Arial" w:cs="Arial"/>
          <w:b/>
          <w:i/>
        </w:rPr>
        <w:t>”</w:t>
      </w:r>
      <w:r w:rsidR="00714C99" w:rsidRPr="00EB5E73">
        <w:rPr>
          <w:rFonts w:ascii="Arial" w:hAnsi="Arial" w:cs="Arial"/>
          <w:b/>
          <w:i/>
        </w:rPr>
        <w:t>,</w:t>
      </w:r>
      <w:r w:rsidR="006C632D" w:rsidRPr="00EB5E73">
        <w:rPr>
          <w:rFonts w:ascii="Arial" w:hAnsi="Arial" w:cs="Arial"/>
        </w:rPr>
        <w:t xml:space="preserve"> me permit</w:t>
      </w:r>
      <w:r w:rsidR="0075092F" w:rsidRPr="00EB5E73">
        <w:rPr>
          <w:rFonts w:ascii="Arial" w:hAnsi="Arial" w:cs="Arial"/>
        </w:rPr>
        <w:t xml:space="preserve">o </w:t>
      </w:r>
      <w:r w:rsidR="00986CE2" w:rsidRPr="00EB5E73">
        <w:rPr>
          <w:rFonts w:ascii="Arial" w:hAnsi="Arial" w:cs="Arial"/>
        </w:rPr>
        <w:t xml:space="preserve">informar a usted </w:t>
      </w:r>
      <w:r w:rsidR="004268C4">
        <w:rPr>
          <w:rFonts w:ascii="Arial" w:hAnsi="Arial" w:cs="Arial"/>
        </w:rPr>
        <w:t>lo siguiente:</w:t>
      </w:r>
    </w:p>
    <w:p w:rsidR="006C632D" w:rsidRPr="00EB5E73" w:rsidRDefault="004268C4" w:rsidP="00EB5E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</w:t>
      </w:r>
      <w:r w:rsidR="00986CE2" w:rsidRPr="00EB5E73">
        <w:rPr>
          <w:rFonts w:ascii="Arial" w:hAnsi="Arial" w:cs="Arial"/>
        </w:rPr>
        <w:t xml:space="preserve"> presupuesto a ejercer en el año 2015 es de $11´738,480.00 de acuerdo a la Ley de Egresos del Estado de Durango y publicado en el Periódico Oficial del Gobierno del Estado de Durango, No. 101, de fecha jueves 18 de diciembre de 2014, página 65</w:t>
      </w:r>
      <w:r w:rsidR="007B55E0" w:rsidRPr="00EB5E73">
        <w:rPr>
          <w:rFonts w:ascii="Arial" w:hAnsi="Arial" w:cs="Arial"/>
        </w:rPr>
        <w:t>.</w:t>
      </w:r>
    </w:p>
    <w:p w:rsidR="007B55E0" w:rsidRPr="00EB5E73" w:rsidRDefault="007B55E0" w:rsidP="00EB5E73">
      <w:pPr>
        <w:spacing w:line="240" w:lineRule="auto"/>
        <w:jc w:val="both"/>
        <w:rPr>
          <w:rFonts w:ascii="Arial" w:hAnsi="Arial" w:cs="Arial"/>
        </w:rPr>
      </w:pPr>
      <w:r w:rsidRPr="00EB5E73">
        <w:rPr>
          <w:rFonts w:ascii="Arial" w:hAnsi="Arial" w:cs="Arial"/>
        </w:rPr>
        <w:t>Anexo</w:t>
      </w:r>
      <w:r w:rsidR="007A2317">
        <w:rPr>
          <w:rFonts w:ascii="Arial" w:hAnsi="Arial" w:cs="Arial"/>
        </w:rPr>
        <w:t xml:space="preserve"> a esta respuesta, Usted encontrará el Periódico Oficial así como el </w:t>
      </w:r>
      <w:r w:rsidRPr="00EB5E73">
        <w:rPr>
          <w:rFonts w:ascii="Arial" w:hAnsi="Arial" w:cs="Arial"/>
        </w:rPr>
        <w:t xml:space="preserve">Plan Anual de Trabajo 2015 y </w:t>
      </w:r>
      <w:r w:rsidR="007A2317">
        <w:rPr>
          <w:rFonts w:ascii="Arial" w:hAnsi="Arial" w:cs="Arial"/>
        </w:rPr>
        <w:t xml:space="preserve">la </w:t>
      </w:r>
      <w:r w:rsidRPr="00EB5E73">
        <w:rPr>
          <w:rFonts w:ascii="Arial" w:hAnsi="Arial" w:cs="Arial"/>
        </w:rPr>
        <w:t>Matriz de Indicadores de Resultados (MIR) 2015.</w:t>
      </w:r>
    </w:p>
    <w:p w:rsidR="00986CE2" w:rsidRPr="00EB5E73" w:rsidRDefault="00986CE2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 xml:space="preserve">Respecto de la Composición orgánica (entendido como estructura orgánica del IDAIP), </w:t>
      </w:r>
      <w:r w:rsidR="00E9797B" w:rsidRPr="00EB5E73">
        <w:rPr>
          <w:rFonts w:ascii="Arial" w:hAnsi="Arial" w:cs="Arial"/>
          <w:color w:val="000000"/>
        </w:rPr>
        <w:t>le informo que a partir de la reforma integral a la Constitución Política del Estado Libre y Soberano de Durango, de fecha 29 de agosto de 2013, se establecen nuevas facultades como órgano constitucional autónomo al Instituto Duranguense de Acceso a la Información Pública y de Protección de Datos Personales, constituyendo un avance fundamental para el fortalecimiento efectivo de este Instituto. Lo anterior de acuerdo a los artículos 29, 130, 131, 132, 136 y 137 de la propia Constitución Local.</w:t>
      </w:r>
    </w:p>
    <w:p w:rsidR="009D6FB5" w:rsidRPr="00EB5E73" w:rsidRDefault="00E9797B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 xml:space="preserve">Asimismo, el 5 de diciembre de 2014, entró en vigor la Ley de Protección de Datos Personales del Estado de Durango, por lo que su implementación requiere de estructuras, procesos y recursos adicionales para su mejor cumplimiento. Por tal motivo, en concordancia con la actualización del marco legal y administrativo del Instituto, se refuerzan las capacidades institucionales con el fin de instrumentar y operar las atribuciones y obligaciones conferidas al IDAIP como </w:t>
      </w:r>
      <w:r w:rsidR="009D6FB5" w:rsidRPr="00EB5E73">
        <w:rPr>
          <w:rFonts w:ascii="Arial" w:hAnsi="Arial" w:cs="Arial"/>
          <w:color w:val="000000"/>
        </w:rPr>
        <w:t>órgano constitucional autónomo.</w:t>
      </w:r>
    </w:p>
    <w:p w:rsidR="00382009" w:rsidRPr="00EB5E73" w:rsidRDefault="009D6FB5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 xml:space="preserve">Para ello, </w:t>
      </w:r>
      <w:r w:rsidR="00382009" w:rsidRPr="00EB5E73">
        <w:rPr>
          <w:rFonts w:ascii="Arial" w:hAnsi="Arial" w:cs="Arial"/>
          <w:color w:val="000000"/>
        </w:rPr>
        <w:t>el artículo 68 de la Ley de Transparencia y Acceso a la Información Pública del Estado de Durango, señala lo siguiente:</w:t>
      </w:r>
    </w:p>
    <w:p w:rsidR="00382009" w:rsidRPr="007A2317" w:rsidRDefault="00382009" w:rsidP="007A2317">
      <w:pPr>
        <w:spacing w:line="240" w:lineRule="auto"/>
        <w:ind w:left="567" w:right="616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b/>
          <w:i/>
          <w:color w:val="000000"/>
        </w:rPr>
        <w:t>Artículo 68.-</w:t>
      </w:r>
      <w:r w:rsidRPr="007A2317">
        <w:rPr>
          <w:rFonts w:ascii="Arial" w:hAnsi="Arial" w:cs="Arial"/>
          <w:i/>
          <w:color w:val="000000"/>
        </w:rPr>
        <w:t xml:space="preserve"> Para el cumplimiento de sus atribuciones, el Instituto contará en su estructura con un Secretario Ejecutivo y personal necesario para el cumplimiento de sus funciones…</w:t>
      </w:r>
      <w:r w:rsidR="00D4300F" w:rsidRPr="007A2317">
        <w:rPr>
          <w:rFonts w:ascii="Arial" w:hAnsi="Arial" w:cs="Arial"/>
          <w:i/>
          <w:color w:val="000000"/>
        </w:rPr>
        <w:t xml:space="preserve"> El Reglamento establecerá y desarrollará las bases para la selección, permanencia, promoción, capacitación y actualización del personal.</w:t>
      </w:r>
    </w:p>
    <w:p w:rsidR="00E9797B" w:rsidRPr="00EB5E73" w:rsidRDefault="00D4300F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 xml:space="preserve">Por su parte, </w:t>
      </w:r>
      <w:r w:rsidR="009D6FB5" w:rsidRPr="00EB5E73">
        <w:rPr>
          <w:rFonts w:ascii="Arial" w:hAnsi="Arial" w:cs="Arial"/>
          <w:color w:val="000000"/>
        </w:rPr>
        <w:t>el artículo 12 del Reglamento Interior del IDAIP, dispone que:</w:t>
      </w:r>
    </w:p>
    <w:p w:rsidR="009D6FB5" w:rsidRPr="007A2317" w:rsidRDefault="007A2317" w:rsidP="007A2317">
      <w:pPr>
        <w:spacing w:line="240" w:lineRule="auto"/>
        <w:ind w:left="567" w:right="616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Artículo 12</w:t>
      </w:r>
      <w:r w:rsidR="009D6FB5" w:rsidRPr="007A2317">
        <w:rPr>
          <w:rFonts w:ascii="Arial" w:hAnsi="Arial" w:cs="Arial"/>
          <w:i/>
          <w:color w:val="000000"/>
        </w:rPr>
        <w:t>.- Para el desarrollo y cumplimiento de las funciones y atribuciones que le corresponden, el Instituto contará con los siguientes órganos y estructura  administrativa: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lastRenderedPageBreak/>
        <w:t>Consejo General;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Consejero Presidente;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Secretaria Ejecutiva;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Secretaria Técnica;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Órgano Interno de Control;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Coordinaciones de: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a). Comunicación Social;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b). Gestión Administrativa;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proofErr w:type="gramStart"/>
      <w:r w:rsidRPr="007A2317">
        <w:rPr>
          <w:rFonts w:ascii="Arial" w:hAnsi="Arial" w:cs="Arial"/>
          <w:i/>
          <w:color w:val="000000"/>
        </w:rPr>
        <w:t>c)</w:t>
      </w:r>
      <w:proofErr w:type="gramEnd"/>
      <w:r w:rsidRPr="007A2317">
        <w:rPr>
          <w:rFonts w:ascii="Arial" w:hAnsi="Arial" w:cs="Arial"/>
          <w:i/>
          <w:color w:val="000000"/>
        </w:rPr>
        <w:t>. Contabilidad;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d). Sistemas;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e). Verificación y Seguimiento a Sujetos Obligados;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f). Promoción y Vinculación;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g). Jurídica;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h). Protección de Datos Personales, y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i). Capacitación y Cultura.</w:t>
      </w:r>
    </w:p>
    <w:p w:rsidR="009D6FB5" w:rsidRPr="007A2317" w:rsidRDefault="009D6FB5" w:rsidP="007A2317">
      <w:pPr>
        <w:pStyle w:val="Prrafodelista"/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Unidad de Enlace, y</w:t>
      </w:r>
    </w:p>
    <w:p w:rsidR="009D6FB5" w:rsidRPr="007A2317" w:rsidRDefault="009D6FB5" w:rsidP="007A2317">
      <w:pPr>
        <w:pStyle w:val="Prrafodelista"/>
        <w:numPr>
          <w:ilvl w:val="0"/>
          <w:numId w:val="11"/>
        </w:numPr>
        <w:spacing w:line="240" w:lineRule="auto"/>
        <w:ind w:left="567" w:right="616" w:hanging="567"/>
        <w:jc w:val="both"/>
        <w:rPr>
          <w:rFonts w:ascii="Arial" w:hAnsi="Arial" w:cs="Arial"/>
          <w:i/>
          <w:color w:val="000000"/>
        </w:rPr>
      </w:pPr>
      <w:r w:rsidRPr="007A2317">
        <w:rPr>
          <w:rFonts w:ascii="Arial" w:hAnsi="Arial" w:cs="Arial"/>
          <w:i/>
          <w:color w:val="000000"/>
        </w:rPr>
        <w:t>Las demás áreas administrativas y personal necesario que autorice el Consejo General de acuerdo con el presupuesto.</w:t>
      </w:r>
    </w:p>
    <w:p w:rsidR="007B55E0" w:rsidRPr="00EB5E73" w:rsidRDefault="007B55E0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>Puede Usted consultar el Reglamento Interior en el siguiente enlace:</w:t>
      </w:r>
    </w:p>
    <w:p w:rsidR="00986CE2" w:rsidRPr="00EB5E73" w:rsidRDefault="00F01CBB" w:rsidP="00EB5E73">
      <w:pPr>
        <w:spacing w:line="240" w:lineRule="auto"/>
        <w:jc w:val="both"/>
        <w:rPr>
          <w:rFonts w:ascii="Arial" w:hAnsi="Arial" w:cs="Arial"/>
          <w:color w:val="000000"/>
        </w:rPr>
      </w:pPr>
      <w:hyperlink r:id="rId8" w:tooltip="http://www.idaip.org.mx/archivos/transparencia/reglamento_cetaip.pdf" w:history="1">
        <w:r w:rsidR="00986CE2" w:rsidRPr="00EB5E73">
          <w:rPr>
            <w:rStyle w:val="Hipervnculo"/>
            <w:rFonts w:ascii="Arial" w:hAnsi="Arial" w:cs="Arial"/>
          </w:rPr>
          <w:t>http://www.idaip.org.mx/archivos/transparencia/reglamento_cetaip.pdf</w:t>
        </w:r>
      </w:hyperlink>
    </w:p>
    <w:p w:rsidR="00382009" w:rsidRPr="00EB5E73" w:rsidRDefault="007B55E0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>Por lo que respecta al sustento jurídico</w:t>
      </w:r>
      <w:r w:rsidR="00382009" w:rsidRPr="00EB5E73">
        <w:rPr>
          <w:rFonts w:ascii="Arial" w:hAnsi="Arial" w:cs="Arial"/>
          <w:color w:val="000000"/>
        </w:rPr>
        <w:t xml:space="preserve">, la Ley de Transparencia y Acceso a la Información Pública del Estado de Durango, establece en su artículo 63 que el Instituto  es un órgano constitucionalmente autónomo, especializado e imparcial, con personalidad jurídica, y patrimonio propio, con autonomía presupuestaria, operativa, de decisión y de gestión, encargado de promover, difundir, tutelar y garantizar el ejercicio del derecho de acceso a la información y la protección de datos personales. No se encontrará subordinada a ninguna autoridad para los efectos de sus resoluciones y éstas serán de naturaleza vinculante y definitiva para los sujetos obligados. No tendrá más restricciones a sus atribuciones, facultades y competencias que las señaladas por la Constitución Política del Estado Libre y Soberano de Durango y las demás disposiciones legales en la materia. El patrimonio de la Comisión se integrará con los bienes muebles e inmuebles que se destinen para el cumplimiento de sus actividades, las partidas que anualmente se le asignen en el Presupuesto de Egresos del Estado, los fondos y las donaciones que reciba, así como los ingresos que perciba por cualquier concepto </w:t>
      </w:r>
    </w:p>
    <w:p w:rsidR="00986CE2" w:rsidRPr="00EB5E73" w:rsidRDefault="00D4300F" w:rsidP="00EB5E73">
      <w:pPr>
        <w:spacing w:line="240" w:lineRule="auto"/>
        <w:jc w:val="both"/>
        <w:rPr>
          <w:rFonts w:ascii="Arial" w:hAnsi="Arial" w:cs="Arial"/>
          <w:color w:val="000000"/>
        </w:rPr>
      </w:pPr>
      <w:r w:rsidRPr="00EB5E73">
        <w:rPr>
          <w:rFonts w:ascii="Arial" w:hAnsi="Arial" w:cs="Arial"/>
          <w:color w:val="000000"/>
        </w:rPr>
        <w:t>Usted podrá consultar la Ley en el siguiente enlace:</w:t>
      </w:r>
    </w:p>
    <w:p w:rsidR="00986CE2" w:rsidRPr="00EB5E73" w:rsidRDefault="00F01CBB" w:rsidP="00EB5E73">
      <w:pPr>
        <w:spacing w:line="240" w:lineRule="auto"/>
        <w:jc w:val="both"/>
        <w:rPr>
          <w:rFonts w:ascii="Arial" w:hAnsi="Arial" w:cs="Arial"/>
          <w:color w:val="000000"/>
        </w:rPr>
      </w:pPr>
      <w:hyperlink r:id="rId9" w:tooltip="http://www.idaip.org.mx/archivos/transparencia/Ley_de_Transparencia_y_Acceso_a_la_Informacion_Publica_del_Estado_de_Durango.pdf" w:history="1">
        <w:r w:rsidR="00986CE2" w:rsidRPr="00EB5E73">
          <w:rPr>
            <w:rStyle w:val="Hipervnculo"/>
            <w:rFonts w:ascii="Arial" w:hAnsi="Arial" w:cs="Arial"/>
          </w:rPr>
          <w:t>http://www.idaip.org.mx/archivos/transparencia/Ley_de_Transparencia_y_Acceso_a_la_Informacion_Publica_del_Estado_de_Durango.pdf</w:t>
        </w:r>
      </w:hyperlink>
    </w:p>
    <w:p w:rsidR="00986CE2" w:rsidRPr="00EB5E73" w:rsidRDefault="00986CE2" w:rsidP="00EB5E73">
      <w:pPr>
        <w:spacing w:line="240" w:lineRule="auto"/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7B51B6" w:rsidRPr="00EB5E73" w:rsidRDefault="00A54B03" w:rsidP="00EB5E73">
      <w:pPr>
        <w:spacing w:line="240" w:lineRule="auto"/>
        <w:jc w:val="both"/>
        <w:rPr>
          <w:rFonts w:ascii="Arial" w:hAnsi="Arial" w:cs="Arial"/>
          <w:lang w:val="es-ES"/>
        </w:rPr>
      </w:pPr>
      <w:r w:rsidRPr="00EB5E73">
        <w:rPr>
          <w:rFonts w:ascii="Arial" w:hAnsi="Arial" w:cs="Arial"/>
        </w:rPr>
        <w:t>E</w:t>
      </w:r>
      <w:r w:rsidR="007B51B6" w:rsidRPr="00EB5E73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EB5E73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EB5E73">
        <w:rPr>
          <w:rFonts w:ascii="Arial" w:hAnsi="Arial" w:cs="Arial"/>
          <w:lang w:val="es-ES"/>
        </w:rPr>
        <w:t xml:space="preserve">su </w:t>
      </w:r>
      <w:r w:rsidR="007B51B6" w:rsidRPr="00EB5E73">
        <w:rPr>
          <w:rFonts w:ascii="Arial" w:hAnsi="Arial" w:cs="Arial"/>
          <w:lang w:val="es-ES"/>
        </w:rPr>
        <w:t>Recurso de Revisión ante est</w:t>
      </w:r>
      <w:r w:rsidR="00056E15" w:rsidRPr="00EB5E73">
        <w:rPr>
          <w:rFonts w:ascii="Arial" w:hAnsi="Arial" w:cs="Arial"/>
          <w:lang w:val="es-ES"/>
        </w:rPr>
        <w:t>e</w:t>
      </w:r>
      <w:r w:rsidR="007B51B6" w:rsidRPr="00EB5E73">
        <w:rPr>
          <w:rFonts w:ascii="Arial" w:hAnsi="Arial" w:cs="Arial"/>
          <w:lang w:val="es-ES"/>
        </w:rPr>
        <w:t xml:space="preserve"> Instituto, dentro de los diez día hábiles siguientes a la </w:t>
      </w:r>
      <w:r w:rsidR="007B51B6" w:rsidRPr="00EB5E73">
        <w:rPr>
          <w:rFonts w:ascii="Arial" w:hAnsi="Arial" w:cs="Arial"/>
          <w:lang w:val="es-ES"/>
        </w:rPr>
        <w:lastRenderedPageBreak/>
        <w:t xml:space="preserve">notificación del presente escrito, de manera verbal, por correo electrónico o por el sistema electrónico </w:t>
      </w:r>
      <w:r w:rsidR="00E16D12" w:rsidRPr="00EB5E73">
        <w:rPr>
          <w:rFonts w:ascii="Arial" w:hAnsi="Arial" w:cs="Arial"/>
          <w:lang w:val="es-ES"/>
        </w:rPr>
        <w:t>INFOMEX-DURANGO</w:t>
      </w:r>
      <w:r w:rsidR="007B51B6" w:rsidRPr="00EB5E73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EB5E73" w:rsidRDefault="007B51B6" w:rsidP="00EB5E73">
      <w:pPr>
        <w:spacing w:line="240" w:lineRule="auto"/>
        <w:jc w:val="both"/>
        <w:rPr>
          <w:rFonts w:ascii="Arial" w:hAnsi="Arial" w:cs="Arial"/>
          <w:lang w:val="es-ES"/>
        </w:rPr>
      </w:pPr>
      <w:r w:rsidRPr="00EB5E73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EB5E73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EB5E73">
        <w:rPr>
          <w:rFonts w:ascii="Arial" w:hAnsi="Arial" w:cs="Arial"/>
          <w:lang w:val="es-ES"/>
        </w:rPr>
        <w:t>a</w:t>
      </w:r>
      <w:r w:rsidR="002D71C8" w:rsidRPr="00EB5E73">
        <w:rPr>
          <w:rFonts w:ascii="Arial" w:hAnsi="Arial" w:cs="Arial"/>
          <w:lang w:val="es-ES"/>
        </w:rPr>
        <w:t xml:space="preserve"> suscrita</w:t>
      </w:r>
      <w:r w:rsidR="00E66001" w:rsidRPr="00EB5E73">
        <w:rPr>
          <w:rFonts w:ascii="Arial" w:hAnsi="Arial" w:cs="Arial"/>
          <w:lang w:val="es-ES"/>
        </w:rPr>
        <w:t xml:space="preserve"> al (618) 811 77 12 o </w:t>
      </w:r>
      <w:r w:rsidR="00E16D12" w:rsidRPr="00EB5E73">
        <w:rPr>
          <w:rFonts w:ascii="Arial" w:hAnsi="Arial" w:cs="Arial"/>
          <w:lang w:val="es-ES"/>
        </w:rPr>
        <w:t xml:space="preserve">al </w:t>
      </w:r>
      <w:r w:rsidR="00E66001" w:rsidRPr="00EB5E73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EB5E73">
        <w:rPr>
          <w:rFonts w:ascii="Arial" w:hAnsi="Arial" w:cs="Arial"/>
          <w:lang w:val="es-ES"/>
        </w:rPr>
        <w:t>ó</w:t>
      </w:r>
      <w:proofErr w:type="spellEnd"/>
      <w:r w:rsidR="00E66001" w:rsidRPr="00EB5E73">
        <w:rPr>
          <w:rFonts w:ascii="Arial" w:hAnsi="Arial" w:cs="Arial"/>
          <w:lang w:val="es-ES"/>
        </w:rPr>
        <w:t xml:space="preserve"> por correo electrónico a </w:t>
      </w:r>
      <w:hyperlink r:id="rId10" w:history="1">
        <w:r w:rsidR="00E66001" w:rsidRPr="00EB5E73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EB5E73">
        <w:rPr>
          <w:rFonts w:ascii="Arial" w:hAnsi="Arial" w:cs="Arial"/>
          <w:lang w:val="es-ES"/>
        </w:rPr>
        <w:t>.</w:t>
      </w:r>
    </w:p>
    <w:p w:rsidR="00735EA9" w:rsidRPr="00EB5E73" w:rsidRDefault="004209C4" w:rsidP="00EB5E73">
      <w:pPr>
        <w:spacing w:line="240" w:lineRule="auto"/>
        <w:jc w:val="both"/>
        <w:rPr>
          <w:rFonts w:ascii="Arial" w:hAnsi="Arial" w:cs="Arial"/>
          <w:b/>
          <w:lang w:val="pt-BR"/>
        </w:rPr>
      </w:pPr>
      <w:r w:rsidRPr="00EB5E73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823BB7" w:rsidRPr="00EB5E73" w:rsidRDefault="00823BB7" w:rsidP="00EB5E73">
      <w:pPr>
        <w:spacing w:line="240" w:lineRule="auto"/>
        <w:jc w:val="both"/>
        <w:rPr>
          <w:rFonts w:ascii="Arial" w:hAnsi="Arial" w:cs="Arial"/>
          <w:b/>
          <w:lang w:val="pt-BR"/>
        </w:rPr>
      </w:pPr>
    </w:p>
    <w:p w:rsidR="00E66001" w:rsidRPr="00EB5E73" w:rsidRDefault="00E66001" w:rsidP="00EB5E73">
      <w:pPr>
        <w:spacing w:line="240" w:lineRule="auto"/>
        <w:jc w:val="center"/>
        <w:rPr>
          <w:rFonts w:ascii="Arial" w:hAnsi="Arial" w:cs="Arial"/>
          <w:b/>
          <w:lang w:val="pt-BR"/>
        </w:rPr>
      </w:pPr>
      <w:r w:rsidRPr="00EB5E73">
        <w:rPr>
          <w:rFonts w:ascii="Arial" w:hAnsi="Arial" w:cs="Arial"/>
          <w:b/>
          <w:lang w:val="pt-BR"/>
        </w:rPr>
        <w:t>A T E N T A M E N T E</w:t>
      </w:r>
    </w:p>
    <w:p w:rsidR="00E66001" w:rsidRPr="00EB5E73" w:rsidRDefault="00E16D12" w:rsidP="00EB5E73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EB5E73">
        <w:rPr>
          <w:rFonts w:ascii="Arial" w:hAnsi="Arial" w:cs="Arial"/>
          <w:b/>
          <w:lang w:val="es-ES"/>
        </w:rPr>
        <w:t>ALMA CRISTINA LÓPEZ DE LA TORRE</w:t>
      </w:r>
      <w:r w:rsidR="0039715A">
        <w:rPr>
          <w:rFonts w:ascii="Arial" w:hAnsi="Arial" w:cs="Arial"/>
          <w:b/>
          <w:lang w:val="es-ES"/>
        </w:rPr>
        <w:t xml:space="preserve">   </w:t>
      </w:r>
    </w:p>
    <w:p w:rsidR="00E66001" w:rsidRPr="00EB5E73" w:rsidRDefault="00E66001" w:rsidP="00EB5E73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EB5E73">
        <w:rPr>
          <w:rFonts w:ascii="Arial" w:hAnsi="Arial" w:cs="Arial"/>
          <w:b/>
          <w:lang w:val="es-ES"/>
        </w:rPr>
        <w:t>UNIDAD DE ENLACE DEL IDAIP</w:t>
      </w:r>
    </w:p>
    <w:sectPr w:rsidR="00E66001" w:rsidRPr="00EB5E73" w:rsidSect="00735EA9">
      <w:headerReference w:type="default" r:id="rId11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CBB" w:rsidRDefault="00F01CBB" w:rsidP="00865CD1">
      <w:pPr>
        <w:spacing w:after="0" w:line="240" w:lineRule="auto"/>
      </w:pPr>
      <w:r>
        <w:separator/>
      </w:r>
    </w:p>
  </w:endnote>
  <w:endnote w:type="continuationSeparator" w:id="0">
    <w:p w:rsidR="00F01CBB" w:rsidRDefault="00F01CBB" w:rsidP="0086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CBB" w:rsidRDefault="00F01CBB" w:rsidP="00865CD1">
      <w:pPr>
        <w:spacing w:after="0" w:line="240" w:lineRule="auto"/>
      </w:pPr>
      <w:r>
        <w:separator/>
      </w:r>
    </w:p>
  </w:footnote>
  <w:footnote w:type="continuationSeparator" w:id="0">
    <w:p w:rsidR="00F01CBB" w:rsidRDefault="00F01CBB" w:rsidP="00865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CD1" w:rsidRDefault="00865CD1">
    <w:pPr>
      <w:pStyle w:val="Encabezado"/>
    </w:pPr>
    <w:r>
      <w:rPr>
        <w:noProof/>
        <w:lang w:eastAsia="es-MX"/>
      </w:rPr>
      <w:drawing>
        <wp:inline distT="0" distB="0" distL="0" distR="0" wp14:anchorId="29626940">
          <wp:extent cx="1504950" cy="6762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8747F"/>
    <w:multiLevelType w:val="hybridMultilevel"/>
    <w:tmpl w:val="FF8683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2E4C"/>
    <w:rsid w:val="000C76B8"/>
    <w:rsid w:val="000E0AD4"/>
    <w:rsid w:val="001045C3"/>
    <w:rsid w:val="00106DEA"/>
    <w:rsid w:val="00175751"/>
    <w:rsid w:val="00182FB8"/>
    <w:rsid w:val="00190370"/>
    <w:rsid w:val="001A1D2C"/>
    <w:rsid w:val="00274B29"/>
    <w:rsid w:val="00281576"/>
    <w:rsid w:val="002D1BA7"/>
    <w:rsid w:val="002D3C75"/>
    <w:rsid w:val="002D3D6D"/>
    <w:rsid w:val="002D71C8"/>
    <w:rsid w:val="002F19EE"/>
    <w:rsid w:val="00320D11"/>
    <w:rsid w:val="0032790A"/>
    <w:rsid w:val="00330AC8"/>
    <w:rsid w:val="0036550C"/>
    <w:rsid w:val="00382009"/>
    <w:rsid w:val="0039715A"/>
    <w:rsid w:val="003A099B"/>
    <w:rsid w:val="003E121A"/>
    <w:rsid w:val="003F0186"/>
    <w:rsid w:val="004209C4"/>
    <w:rsid w:val="004268C4"/>
    <w:rsid w:val="00485437"/>
    <w:rsid w:val="00492D8F"/>
    <w:rsid w:val="004958B9"/>
    <w:rsid w:val="004C3BE1"/>
    <w:rsid w:val="00531510"/>
    <w:rsid w:val="00541F77"/>
    <w:rsid w:val="005429B4"/>
    <w:rsid w:val="00561012"/>
    <w:rsid w:val="00562A13"/>
    <w:rsid w:val="005D7E5F"/>
    <w:rsid w:val="005F229B"/>
    <w:rsid w:val="00601BB4"/>
    <w:rsid w:val="00684A14"/>
    <w:rsid w:val="006C632D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2317"/>
    <w:rsid w:val="007A3B56"/>
    <w:rsid w:val="007B51B6"/>
    <w:rsid w:val="007B55E0"/>
    <w:rsid w:val="007E0630"/>
    <w:rsid w:val="007E51D5"/>
    <w:rsid w:val="00822B93"/>
    <w:rsid w:val="00823BB7"/>
    <w:rsid w:val="00832AE8"/>
    <w:rsid w:val="00865CD1"/>
    <w:rsid w:val="008C490D"/>
    <w:rsid w:val="008D7DC5"/>
    <w:rsid w:val="008F5647"/>
    <w:rsid w:val="009016A0"/>
    <w:rsid w:val="00907AD6"/>
    <w:rsid w:val="009149ED"/>
    <w:rsid w:val="0093110F"/>
    <w:rsid w:val="00986CE2"/>
    <w:rsid w:val="009A5B2F"/>
    <w:rsid w:val="009B05B6"/>
    <w:rsid w:val="009B6178"/>
    <w:rsid w:val="009D474A"/>
    <w:rsid w:val="009D6FB5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90616"/>
    <w:rsid w:val="00BD0AEB"/>
    <w:rsid w:val="00C12CEC"/>
    <w:rsid w:val="00C368BD"/>
    <w:rsid w:val="00C62EFE"/>
    <w:rsid w:val="00C720A2"/>
    <w:rsid w:val="00CC4779"/>
    <w:rsid w:val="00CE366C"/>
    <w:rsid w:val="00D175AB"/>
    <w:rsid w:val="00D36CB4"/>
    <w:rsid w:val="00D4300F"/>
    <w:rsid w:val="00D4594C"/>
    <w:rsid w:val="00D4657E"/>
    <w:rsid w:val="00D6372A"/>
    <w:rsid w:val="00D802AF"/>
    <w:rsid w:val="00D82405"/>
    <w:rsid w:val="00DB7214"/>
    <w:rsid w:val="00DD6C58"/>
    <w:rsid w:val="00DD7D5B"/>
    <w:rsid w:val="00DE1134"/>
    <w:rsid w:val="00E01602"/>
    <w:rsid w:val="00E16D12"/>
    <w:rsid w:val="00E25081"/>
    <w:rsid w:val="00E439DD"/>
    <w:rsid w:val="00E475E0"/>
    <w:rsid w:val="00E545B6"/>
    <w:rsid w:val="00E56CA1"/>
    <w:rsid w:val="00E6278B"/>
    <w:rsid w:val="00E66001"/>
    <w:rsid w:val="00E93C16"/>
    <w:rsid w:val="00E9797B"/>
    <w:rsid w:val="00EB5E73"/>
    <w:rsid w:val="00ED2B27"/>
    <w:rsid w:val="00F01CBB"/>
    <w:rsid w:val="00F05099"/>
    <w:rsid w:val="00F25541"/>
    <w:rsid w:val="00F47D4A"/>
    <w:rsid w:val="00F52801"/>
    <w:rsid w:val="00F547A0"/>
    <w:rsid w:val="00F81528"/>
    <w:rsid w:val="00FB3BA9"/>
    <w:rsid w:val="00FC2933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9891AC-4E2A-4AD8-ACF0-A8E32B9E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865C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CD1"/>
  </w:style>
  <w:style w:type="paragraph" w:styleId="Piedepgina">
    <w:name w:val="footer"/>
    <w:basedOn w:val="Normal"/>
    <w:link w:val="PiedepginaCar"/>
    <w:uiPriority w:val="99"/>
    <w:unhideWhenUsed/>
    <w:rsid w:val="00865C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8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0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27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0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3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2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0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51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16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32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4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80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4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22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53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50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archivos/transparencia/reglamento_cetaip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uzon@idaip.org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aip.org.mx/archivos/transparencia/Ley_de_Transparencia_y_Acceso_a_la_Informacion_Publica_del_Estado_de_Durango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92CA8-040F-4B17-B68E-71A8CDF9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939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12</cp:revision>
  <cp:lastPrinted>2015-09-18T18:34:00Z</cp:lastPrinted>
  <dcterms:created xsi:type="dcterms:W3CDTF">2015-09-18T14:32:00Z</dcterms:created>
  <dcterms:modified xsi:type="dcterms:W3CDTF">2015-09-22T16:26:00Z</dcterms:modified>
</cp:coreProperties>
</file>